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napToGrid w:val="0"/>
        <w:spacing w:line="520" w:lineRule="exact"/>
        <w:ind w:left="1446" w:hanging="1446" w:hangingChars="4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乐山市</w:t>
      </w:r>
      <w:r>
        <w:rPr>
          <w:rFonts w:ascii="宋体" w:hAnsi="宋体"/>
          <w:b/>
          <w:sz w:val="36"/>
          <w:szCs w:val="36"/>
        </w:rPr>
        <w:t>2016</w:t>
      </w:r>
      <w:r>
        <w:rPr>
          <w:rFonts w:hint="eastAsia" w:ascii="宋体" w:hAnsi="宋体"/>
          <w:b/>
          <w:sz w:val="36"/>
          <w:szCs w:val="36"/>
        </w:rPr>
        <w:t>年慢性非传染性疾病</w:t>
      </w:r>
    </w:p>
    <w:p>
      <w:pPr>
        <w:snapToGrid w:val="0"/>
        <w:spacing w:line="520" w:lineRule="exact"/>
        <w:ind w:left="1446" w:hanging="1446" w:hangingChars="4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预防控制重点工作考核结果报告</w:t>
      </w:r>
    </w:p>
    <w:p>
      <w:pPr>
        <w:snapToGrid w:val="0"/>
        <w:spacing w:line="520" w:lineRule="exact"/>
        <w:ind w:left="1124" w:hanging="1124" w:hangingChars="400"/>
        <w:jc w:val="center"/>
        <w:rPr>
          <w:rFonts w:ascii="宋体" w:hAnsi="宋体"/>
          <w:b/>
          <w:sz w:val="28"/>
          <w:szCs w:val="28"/>
        </w:rPr>
      </w:pPr>
    </w:p>
    <w:p>
      <w:pPr>
        <w:pStyle w:val="6"/>
        <w:spacing w:line="480" w:lineRule="exact"/>
        <w:ind w:firstLine="640"/>
        <w:contextualSpacing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为深入推进慢病防治工作，2016年我市按照省疾控中心要求对全市慢性病防治工作进行考核，考核结果如下。</w:t>
      </w:r>
    </w:p>
    <w:p>
      <w:pPr>
        <w:pStyle w:val="6"/>
        <w:spacing w:line="480" w:lineRule="exact"/>
        <w:ind w:firstLine="627" w:firstLineChars="196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一、常规工作</w:t>
      </w:r>
    </w:p>
    <w:p>
      <w:pPr>
        <w:pStyle w:val="6"/>
        <w:spacing w:line="480" w:lineRule="exact"/>
        <w:ind w:firstLine="643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（一）死因监测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市级考核结果：死因监测工作覆盖了全市所有区县,覆盖率100%。粗死亡率达648/10万；总错误率为1.64%，低于5%。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县区级考核结果：共有7个区县粗死亡率达到600/10万及以上，总错误率均低于5%。结果详见附表1。</w:t>
      </w:r>
    </w:p>
    <w:p>
      <w:pPr>
        <w:pStyle w:val="6"/>
        <w:spacing w:line="480" w:lineRule="exact"/>
        <w:ind w:firstLine="643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（二）肿瘤随访登记</w:t>
      </w:r>
    </w:p>
    <w:p>
      <w:pPr>
        <w:pStyle w:val="7"/>
        <w:spacing w:line="480" w:lineRule="exact"/>
        <w:ind w:firstLine="640" w:firstLineChars="200"/>
        <w:jc w:val="both"/>
        <w:rPr>
          <w:rFonts w:hint="eastAsia" w:ascii="仿宋_GB2312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市已全面开展肿瘤随访登记报告，大部分区县上报数据内容完整，格式符合要求，check程序审核无错误；报告发病率125.05/10万，报告死亡率83.42/10万，死亡发病比为0.67；病理诊断比例56.95%；DCO(仅有死亡医学证明书)比例2.34%。</w:t>
      </w:r>
    </w:p>
    <w:p>
      <w:pPr>
        <w:pStyle w:val="6"/>
        <w:spacing w:line="480" w:lineRule="exact"/>
        <w:ind w:firstLine="643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（三）全民健康生活方式行动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市级考核结果：全民健康生活方式行动县区覆盖率100%；全国疾控系统慢性病防控与营养工作进展季度报表按时完成率100%；审核率100%。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县区级考核结果：详见附表2、3。</w:t>
      </w:r>
    </w:p>
    <w:p>
      <w:pPr>
        <w:pStyle w:val="6"/>
        <w:spacing w:line="480" w:lineRule="exact"/>
        <w:ind w:firstLine="64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二、项目工作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按项目方案要求对儿童口腔、农村癫痫、慢病与营养监测、肿瘤登记、心血管监测、COPD监测等项目工作进行考核。结果详见附表2、3。</w:t>
      </w:r>
    </w:p>
    <w:p>
      <w:pPr>
        <w:pStyle w:val="6"/>
        <w:spacing w:line="480" w:lineRule="exact"/>
        <w:ind w:firstLine="64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三、慢性病防控工作创新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加分项目。我市各区县没有根据本地区的实际情况创新性地针对减盐、限油、促进身体活动、健康教育与健康促进、支持性环境建设、健康管理等方面开展创新性的试点工作，并及时上报相关的信息，所以没有加分。</w:t>
      </w: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6"/>
        <w:spacing w:line="4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附表：1.乐山市2016年 常规质量分析报表（录入时间）</w:t>
      </w:r>
    </w:p>
    <w:p>
      <w:pPr>
        <w:pStyle w:val="6"/>
        <w:spacing w:line="480" w:lineRule="exact"/>
        <w:ind w:left="1921" w:leftChars="667" w:hanging="320" w:hanging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2.2016年慢性非传染性疾病预防控制重点工作考核结果</w:t>
      </w:r>
    </w:p>
    <w:p>
      <w:pPr>
        <w:pStyle w:val="6"/>
        <w:spacing w:line="480" w:lineRule="exact"/>
        <w:ind w:left="1921" w:leftChars="667" w:hanging="320" w:hanging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3.2016年慢性非传染性疾病预防控制重点工作考核评分表</w:t>
      </w: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18" w:bottom="1871" w:left="1418" w:header="851" w:footer="992" w:gutter="0"/>
          <w:pgNumType w:fmt="numberInDash"/>
          <w:cols w:space="425" w:num="1"/>
          <w:docGrid w:linePitch="312" w:charSpace="0"/>
        </w:sectPr>
      </w:pPr>
    </w:p>
    <w:p>
      <w:pPr>
        <w:pStyle w:val="6"/>
        <w:spacing w:line="360" w:lineRule="auto"/>
        <w:ind w:firstLine="0"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附表1</w:t>
      </w:r>
    </w:p>
    <w:p>
      <w:pPr>
        <w:pStyle w:val="6"/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乐山市</w:t>
      </w:r>
      <w:r>
        <w:rPr>
          <w:rFonts w:ascii="宋体" w:hAnsi="宋体"/>
          <w:b/>
          <w:sz w:val="36"/>
          <w:szCs w:val="36"/>
        </w:rPr>
        <w:t>2016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常规质量分析报表（死亡时间）</w:t>
      </w:r>
    </w:p>
    <w:p>
      <w:pPr>
        <w:pStyle w:val="6"/>
        <w:ind w:firstLine="480"/>
        <w:jc w:val="center"/>
        <w:rPr>
          <w:rFonts w:ascii="宋体" w:hAnsi="宋体"/>
          <w:sz w:val="24"/>
        </w:rPr>
      </w:pPr>
    </w:p>
    <w:tbl>
      <w:tblPr>
        <w:tblStyle w:val="5"/>
        <w:tblW w:w="13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66"/>
        <w:gridCol w:w="920"/>
        <w:gridCol w:w="656"/>
        <w:gridCol w:w="785"/>
        <w:gridCol w:w="666"/>
        <w:gridCol w:w="962"/>
        <w:gridCol w:w="967"/>
        <w:gridCol w:w="666"/>
        <w:gridCol w:w="603"/>
        <w:gridCol w:w="754"/>
        <w:gridCol w:w="864"/>
        <w:gridCol w:w="864"/>
        <w:gridCol w:w="1076"/>
        <w:gridCol w:w="917"/>
        <w:gridCol w:w="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地区</w:t>
            </w:r>
          </w:p>
        </w:tc>
        <w:tc>
          <w:tcPr>
            <w:tcW w:w="5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报告情况</w:t>
            </w:r>
          </w:p>
        </w:tc>
        <w:tc>
          <w:tcPr>
            <w:tcW w:w="20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审核情况</w:t>
            </w:r>
          </w:p>
        </w:tc>
        <w:tc>
          <w:tcPr>
            <w:tcW w:w="4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死因编码评价指标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报告死亡数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报告死亡率（1/10万，换算为年）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重卡率(%)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未报告县区比例(%)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报告及时性（%）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身份证号填写完整率(%)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多死因链填写完整率(%)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审核率(%)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迟审率(%)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一审通过率(%)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死因诊断不明比例(%)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伤害意图不明比例(%)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心血管病缺乏诊断意义比例(%)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肿瘤未指明位置比例(%)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呼衰、肝衰比例(%)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乐山市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21259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652.02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2.52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94.26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98.17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53.1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99.86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0.35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0.89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0.55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市中区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4769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717.79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8.93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99.58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94.97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46.52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99.98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沙湾区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654.61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0.41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99.92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99.84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65.2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99.76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五通桥区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656.22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1.55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81.82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97.48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40.25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99.95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2.42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2.23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金口河区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516.28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99.21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47.24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0.39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犍为县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3303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751.36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98.46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99.79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80.3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99.91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井研县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776.45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92.54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33.26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99.73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0.32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89.14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夹江县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2306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672.06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1.13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76.45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99.22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49.91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99.48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99.96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沐川县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469.49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97.85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77.01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0.29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93.05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0.49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2.35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峨边县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296.29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96.64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97.6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49.76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99.76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86.06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1.44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马边县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511.76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99.45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99.56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78.21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0.55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89.6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0.44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0.44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峨眉山市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2761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628.36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0.65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99.2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98.77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38.72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0.14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0.65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0.04</w:t>
            </w:r>
          </w:p>
        </w:tc>
      </w:tr>
    </w:tbl>
    <w:p>
      <w:pPr>
        <w:pStyle w:val="6"/>
        <w:spacing w:line="360" w:lineRule="auto"/>
        <w:ind w:left="0" w:leftChars="0" w:firstLine="0" w:firstLineChars="0"/>
        <w:rPr>
          <w:rFonts w:ascii="宋体" w:hAnsi="宋体"/>
          <w:sz w:val="28"/>
          <w:szCs w:val="28"/>
        </w:rPr>
      </w:pPr>
    </w:p>
    <w:p>
      <w:pPr>
        <w:pStyle w:val="6"/>
        <w:ind w:firstLine="0"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附表2</w:t>
      </w:r>
    </w:p>
    <w:p>
      <w:pPr>
        <w:pStyle w:val="6"/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2016</w:t>
      </w:r>
      <w:r>
        <w:rPr>
          <w:rFonts w:hint="eastAsia" w:ascii="宋体" w:hAnsi="宋体"/>
          <w:b/>
          <w:sz w:val="36"/>
          <w:szCs w:val="36"/>
        </w:rPr>
        <w:t>年慢性非传染性疾病预防控制重点工作考核结果</w:t>
      </w:r>
    </w:p>
    <w:tbl>
      <w:tblPr>
        <w:tblStyle w:val="5"/>
        <w:tblW w:w="13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29"/>
        <w:gridCol w:w="761"/>
        <w:gridCol w:w="773"/>
        <w:gridCol w:w="72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区县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死因监测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全民健康生活方式行动</w:t>
            </w:r>
          </w:p>
        </w:tc>
        <w:tc>
          <w:tcPr>
            <w:tcW w:w="4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项目工作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慢性病防控工作创新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覆盖率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粗死亡率（/10万，死亡时间）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总错误率（%）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县区覆盖率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季报表按时完成率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季报表审核率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健康生活方式指导员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健康支持性环境建设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慢病健康主题日宣传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无烟环境创建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儿童口腔综合干预项目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农村癫痫防治管理项目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肿瘤随访登记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心脑血管疾病监测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  <w:t>健康管理员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  <w:t>慢阻肺和类风湿关节炎患者健康管理项目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市级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652.02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1.64%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color w:val="FF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color w:val="FF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市中区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717.79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1.32%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216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沙湾区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654.61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1.95%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五通桥区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656.22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3.44%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232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金口河区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516.28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0.39%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犍为县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751.36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1.45%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228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井研县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776.45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2.58%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225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夹江县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672.06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0.34%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172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沐川县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469.49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3.04%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202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峨边县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296.29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2.16%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264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马边县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511.76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1.21%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222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峨眉山市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628.36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5"/>
                <w:szCs w:val="15"/>
              </w:rPr>
              <w:t>0.9%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Calibri"/>
                <w:b/>
                <w:color w:val="000000"/>
                <w:sz w:val="15"/>
                <w:szCs w:val="15"/>
              </w:rPr>
              <w:t>　</w:t>
            </w:r>
          </w:p>
        </w:tc>
      </w:tr>
    </w:tbl>
    <w:p>
      <w:pPr>
        <w:pStyle w:val="6"/>
        <w:ind w:firstLine="0"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附表3</w:t>
      </w:r>
    </w:p>
    <w:p>
      <w:pPr>
        <w:pStyle w:val="6"/>
        <w:ind w:firstLine="723"/>
        <w:jc w:val="center"/>
        <w:rPr>
          <w:rFonts w:ascii="宋体" w:hAnsi="宋体"/>
          <w:sz w:val="24"/>
        </w:rPr>
      </w:pPr>
      <w:r>
        <w:rPr>
          <w:rFonts w:ascii="宋体" w:hAnsi="宋体"/>
          <w:b/>
          <w:sz w:val="36"/>
          <w:szCs w:val="36"/>
        </w:rPr>
        <w:t>2016</w:t>
      </w:r>
      <w:r>
        <w:rPr>
          <w:rFonts w:hint="eastAsia" w:ascii="宋体" w:hAnsi="宋体"/>
          <w:b/>
          <w:sz w:val="36"/>
          <w:szCs w:val="36"/>
        </w:rPr>
        <w:t>年慢性非传染性疾病预防控制重点工作考核评分表</w:t>
      </w:r>
    </w:p>
    <w:tbl>
      <w:tblPr>
        <w:tblStyle w:val="5"/>
        <w:tblW w:w="132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13"/>
        <w:gridCol w:w="695"/>
        <w:gridCol w:w="695"/>
        <w:gridCol w:w="695"/>
        <w:gridCol w:w="695"/>
        <w:gridCol w:w="694"/>
        <w:gridCol w:w="694"/>
        <w:gridCol w:w="694"/>
        <w:gridCol w:w="694"/>
        <w:gridCol w:w="697"/>
        <w:gridCol w:w="694"/>
        <w:gridCol w:w="694"/>
        <w:gridCol w:w="694"/>
        <w:gridCol w:w="694"/>
        <w:gridCol w:w="694"/>
        <w:gridCol w:w="697"/>
        <w:gridCol w:w="694"/>
        <w:gridCol w:w="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区县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死因监测</w:t>
            </w:r>
          </w:p>
        </w:tc>
        <w:tc>
          <w:tcPr>
            <w:tcW w:w="4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全民健康生活方式行动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  <w:t>项目工作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慢性病防控工作创新（加分项）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得分（市级总分6分，县区级总分13分）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覆盖率（1分）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粗死亡率（1分）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总错误率（1分）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县区覆盖率（1分）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季报表按时完成率（1分）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季报表审核率（1分）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健康生活方式指导员（1分）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健康支持性环境建设（1分）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慢病健康主题日宣传（1分）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无烟环境创建（1分）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儿童口腔综合干预项目（1分）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农村癫痫防治管理项目（1分）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肿瘤随访登记（1分）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心脑血管疾病监测（1分）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  <w:t>健康管理员（1分）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sz w:val="15"/>
                <w:szCs w:val="15"/>
              </w:rPr>
              <w:t>慢阻肺和类风湿关节炎患者健康管理项目（1分）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市级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市中区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沙湾区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五通桥区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金口河区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犍为县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井研县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夹江县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沐川县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峨边县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马边县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峨眉山市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5"/>
                <w:szCs w:val="15"/>
              </w:rPr>
              <w:t>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- 15 -</w:t>
    </w:r>
    <w:r>
      <w:rPr>
        <w:rStyle w:val="4"/>
      </w:rPr>
      <w:fldChar w:fldCharType="end"/>
    </w:r>
  </w:p>
  <w:p>
    <w:pPr>
      <w:pStyle w:val="2"/>
      <w:ind w:right="360" w:firstLine="360"/>
      <w:rPr>
        <w:rFonts w:hint="eastAsia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- 14 -</w:t>
    </w:r>
    <w:r>
      <w:rPr>
        <w:rStyle w:val="4"/>
      </w:rPr>
      <w:fldChar w:fldCharType="end"/>
    </w:r>
  </w:p>
  <w:p>
    <w:pPr>
      <w:pStyle w:val="2"/>
      <w:ind w:left="360" w:leftChars="150" w:right="360" w:rightChars="150" w:firstLine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731F"/>
    <w:rsid w:val="77EB7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2017-03-02T02:12:00Z</dcterms:created>
  <dc:creator>Administrator</dc:creator>
  <cp:lastModifiedBy>Administrator</cp:lastModifiedBy>
  <dcterms:modified xsi:type="dcterms:W3CDTF">2017-03-02T02:17:15Z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